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C" w:rsidRPr="005719FC" w:rsidRDefault="005719FC" w:rsidP="005719F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19FC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Кравченко О.О.</w:t>
      </w:r>
    </w:p>
    <w:p w:rsidR="005719FC" w:rsidRPr="005719FC" w:rsidRDefault="005719FC" w:rsidP="005719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9FC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5719FC">
        <w:rPr>
          <w:rFonts w:ascii="Times New Roman" w:hAnsi="Times New Roman" w:cs="Times New Roman"/>
          <w:sz w:val="28"/>
          <w:szCs w:val="28"/>
          <w:lang w:val="uk-UA"/>
        </w:rPr>
        <w:t>., доц., декан факультету соціальної та психологічної освіти</w:t>
      </w:r>
    </w:p>
    <w:p w:rsidR="005719FC" w:rsidRPr="005719FC" w:rsidRDefault="005719FC" w:rsidP="005719F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19FC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</w:t>
      </w:r>
      <w:bookmarkStart w:id="0" w:name="_GoBack"/>
      <w:bookmarkEnd w:id="0"/>
      <w:r w:rsidRPr="005719FC">
        <w:rPr>
          <w:rFonts w:ascii="Times New Roman" w:hAnsi="Times New Roman" w:cs="Times New Roman"/>
          <w:i/>
          <w:sz w:val="28"/>
          <w:szCs w:val="28"/>
          <w:lang w:val="uk-UA"/>
        </w:rPr>
        <w:t>тет імені Павла Тичини</w:t>
      </w:r>
    </w:p>
    <w:p w:rsidR="005719FC" w:rsidRDefault="005719FC" w:rsidP="00847A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A78" w:rsidRPr="00847A78" w:rsidRDefault="00AC429D" w:rsidP="00847A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847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7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СОЦІАЛЬНОЇ </w:t>
      </w:r>
      <w:r w:rsidR="00847A78" w:rsidRPr="00847A78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F50AB">
        <w:rPr>
          <w:rFonts w:ascii="Times New Roman" w:hAnsi="Times New Roman" w:cs="Times New Roman"/>
          <w:b/>
          <w:sz w:val="28"/>
          <w:szCs w:val="28"/>
          <w:lang w:val="uk-UA"/>
        </w:rPr>
        <w:t>ПИТАННЯ ГЕНДЕРУ</w:t>
      </w:r>
    </w:p>
    <w:p w:rsidR="00847A78" w:rsidRDefault="00847A78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40A" w:rsidRPr="005306B2" w:rsidRDefault="00987018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6B2">
        <w:rPr>
          <w:rFonts w:ascii="Times New Roman" w:hAnsi="Times New Roman" w:cs="Times New Roman"/>
          <w:sz w:val="28"/>
          <w:szCs w:val="28"/>
          <w:lang w:val="uk-UA"/>
        </w:rPr>
        <w:t>Практикоорієнтований</w:t>
      </w:r>
      <w:proofErr w:type="spellEnd"/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 зміст професії соціального працівника виступає дієвою формою дотримання принципів гендерної рівності. Адже для соціальної роботи ключовими виступають принципи захисту прав людини і соціальної справедливості. Соціальні працівники виступають агентами змін у житті окремої людини, </w:t>
      </w:r>
      <w:r w:rsidR="004D1A8E" w:rsidRPr="005306B2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5306B2">
        <w:rPr>
          <w:rFonts w:ascii="Times New Roman" w:hAnsi="Times New Roman" w:cs="Times New Roman"/>
          <w:sz w:val="28"/>
          <w:szCs w:val="28"/>
          <w:lang w:val="uk-UA"/>
        </w:rPr>
        <w:t>, громади, відтак  агентами змін у суспільстві. Разом з тим, у ході професійної діяльності вони</w:t>
      </w:r>
      <w:r w:rsidR="008C2619">
        <w:rPr>
          <w:rFonts w:ascii="Times New Roman" w:hAnsi="Times New Roman" w:cs="Times New Roman"/>
          <w:sz w:val="28"/>
          <w:szCs w:val="28"/>
          <w:lang w:val="uk-UA"/>
        </w:rPr>
        <w:t xml:space="preserve"> намагаються виключити будь-які</w:t>
      </w:r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 форми дискримінації, у тому числі за ознакою статті, від чого залежить перспективи </w:t>
      </w:r>
      <w:proofErr w:type="spellStart"/>
      <w:r w:rsidRPr="005306B2">
        <w:rPr>
          <w:rFonts w:ascii="Times New Roman" w:hAnsi="Times New Roman" w:cs="Times New Roman"/>
          <w:sz w:val="28"/>
          <w:szCs w:val="28"/>
          <w:lang w:val="uk-UA"/>
        </w:rPr>
        <w:t>антидискримінаційного</w:t>
      </w:r>
      <w:proofErr w:type="spellEnd"/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обслуговування, соціальної справедливості і соціального розвитку.</w:t>
      </w:r>
    </w:p>
    <w:p w:rsidR="0003159E" w:rsidRPr="00416D37" w:rsidRDefault="0003159E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Відтак, </w:t>
      </w:r>
      <w:r w:rsidRPr="0003159E">
        <w:rPr>
          <w:rFonts w:ascii="Times New Roman" w:hAnsi="Times New Roman" w:cs="Times New Roman"/>
          <w:sz w:val="28"/>
          <w:szCs w:val="28"/>
          <w:lang w:val="uk-UA"/>
        </w:rPr>
        <w:t xml:space="preserve">гендерний </w:t>
      </w:r>
      <w:proofErr w:type="spellStart"/>
      <w:r w:rsidRPr="0003159E">
        <w:rPr>
          <w:rFonts w:ascii="Times New Roman" w:hAnsi="Times New Roman" w:cs="Times New Roman"/>
          <w:sz w:val="28"/>
          <w:szCs w:val="28"/>
          <w:lang w:val="uk-UA"/>
        </w:rPr>
        <w:t>мейнстріминг</w:t>
      </w:r>
      <w:proofErr w:type="spellEnd"/>
      <w:r w:rsidRPr="0003159E">
        <w:rPr>
          <w:rFonts w:ascii="Times New Roman" w:hAnsi="Times New Roman" w:cs="Times New Roman"/>
          <w:sz w:val="28"/>
          <w:szCs w:val="28"/>
          <w:lang w:val="uk-UA"/>
        </w:rPr>
        <w:t xml:space="preserve"> посідає важливе місце у процесі </w:t>
      </w:r>
      <w:r w:rsidR="00416D37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416D3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 соціальної сфери</w:t>
      </w:r>
      <w:r w:rsidR="00416D37"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 як формування стійкої професійної компетентності пошанування суб’єктності, життєстійкості особи, без огляду на її статеву належність, а також здатності реалізовувати основі положення міжнародного та вітчизняного законодавства у сфері захисту прав та гідності людини.</w:t>
      </w:r>
    </w:p>
    <w:p w:rsidR="0003159E" w:rsidRDefault="00416D37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У цьому відношенні актуальною виступає </w:t>
      </w:r>
      <w:r w:rsidR="00E0517F" w:rsidRPr="00E0517F">
        <w:rPr>
          <w:rFonts w:ascii="Times New Roman" w:hAnsi="Times New Roman" w:cs="Times New Roman"/>
          <w:sz w:val="28"/>
          <w:szCs w:val="28"/>
          <w:lang w:val="uk-UA"/>
        </w:rPr>
        <w:t>Резолюція</w:t>
      </w:r>
      <w:r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59E"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Ради Безпеки ООН 1325 </w:t>
      </w:r>
      <w:r w:rsidR="00E0517F">
        <w:rPr>
          <w:rFonts w:ascii="Times New Roman" w:hAnsi="Times New Roman" w:cs="Times New Roman"/>
          <w:sz w:val="28"/>
          <w:szCs w:val="28"/>
          <w:lang w:val="uk-UA"/>
        </w:rPr>
        <w:t>як одна</w:t>
      </w:r>
      <w:r w:rsidR="0003159E"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 важливих резолюцій РБ ООН у сфері політики безпеки. Важливо, що цей документ наголошує на важливій ролі жінок у запобіганні і врегулюванні конфліктів та в розбудові миру, а також закликає держави-члени забезпечити більш активну участь жінок на всіх рівнях прийняття рішень в національних, регіональних і міжнародних інститутах, у механізмах запобігання, управління та вирішення конфліктів. Безперечно, першочерговим завданням </w:t>
      </w:r>
      <w:r w:rsidR="00E0517F">
        <w:rPr>
          <w:rFonts w:ascii="Times New Roman" w:hAnsi="Times New Roman" w:cs="Times New Roman"/>
          <w:sz w:val="28"/>
          <w:szCs w:val="28"/>
          <w:lang w:val="uk-UA"/>
        </w:rPr>
        <w:t>кожн</w:t>
      </w:r>
      <w:r w:rsidR="0003159E" w:rsidRPr="00E0517F">
        <w:rPr>
          <w:rFonts w:ascii="Times New Roman" w:hAnsi="Times New Roman" w:cs="Times New Roman"/>
          <w:sz w:val="28"/>
          <w:szCs w:val="28"/>
          <w:lang w:val="uk-UA"/>
        </w:rPr>
        <w:t xml:space="preserve">ої держави має бути фізична і психологічна </w:t>
      </w:r>
      <w:r w:rsidR="0003159E" w:rsidRPr="00E0517F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безпека жінки, її захист у багатьох сферах сучасного життя – в сімейно-побутовій площині, на професійному рівні, в громадській роботі чи на політичній арені.</w:t>
      </w:r>
    </w:p>
    <w:p w:rsidR="00987018" w:rsidRPr="002525AD" w:rsidRDefault="00987018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питань </w:t>
      </w:r>
      <w:proofErr w:type="spellStart"/>
      <w:r w:rsidRPr="005306B2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навчальній </w:t>
      </w:r>
      <w:r w:rsidR="005A1A3E" w:rsidRPr="005306B2">
        <w:rPr>
          <w:rFonts w:ascii="Times New Roman" w:hAnsi="Times New Roman" w:cs="Times New Roman"/>
          <w:sz w:val="28"/>
          <w:szCs w:val="28"/>
          <w:lang w:val="uk-UA"/>
        </w:rPr>
        <w:t>літературі</w:t>
      </w:r>
      <w:r w:rsidRPr="005306B2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«Соціальна робота» </w:t>
      </w:r>
      <w:r w:rsidR="00F81B85" w:rsidRPr="005306B2">
        <w:rPr>
          <w:rFonts w:ascii="Times New Roman" w:hAnsi="Times New Roman" w:cs="Times New Roman"/>
          <w:sz w:val="28"/>
          <w:szCs w:val="28"/>
          <w:lang w:val="uk-UA"/>
        </w:rPr>
        <w:t>виступає одним із важливих джерел рефлексії та поінформованості про права людини як важливої характеристики професії. Мова йде не лише про навчання студентів толерантності, розуміння і визнання різноманіття, але й розвитку професійних навиків розпізнавати дискримінацію і намагання дотримання прав людини</w:t>
      </w:r>
      <w:r w:rsidR="002525AD">
        <w:rPr>
          <w:rFonts w:ascii="Times New Roman" w:hAnsi="Times New Roman" w:cs="Times New Roman"/>
          <w:sz w:val="28"/>
          <w:szCs w:val="28"/>
          <w:lang w:val="uk-UA"/>
        </w:rPr>
        <w:t xml:space="preserve"> [4, С. 88–89]</w:t>
      </w:r>
      <w:r w:rsidR="00F81B85" w:rsidRPr="00530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F85" w:rsidRPr="00607ABB" w:rsidRDefault="00130F85" w:rsidP="00130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курс значно розширює</w:t>
      </w:r>
      <w:r w:rsidRPr="00607AB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професійну еруди</w:t>
      </w:r>
      <w:r>
        <w:rPr>
          <w:rFonts w:ascii="Times New Roman" w:hAnsi="Times New Roman" w:cs="Times New Roman"/>
          <w:sz w:val="28"/>
          <w:szCs w:val="28"/>
          <w:lang w:val="uk-UA"/>
        </w:rPr>
        <w:t>цію майбутніх фахівців, формує</w:t>
      </w:r>
      <w:r w:rsidRPr="00607ABB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спрямованості, закономірностей, рушійних сил і тенде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07ABB">
        <w:rPr>
          <w:rFonts w:ascii="Times New Roman" w:hAnsi="Times New Roman" w:cs="Times New Roman"/>
          <w:sz w:val="28"/>
          <w:szCs w:val="28"/>
          <w:lang w:val="uk-UA"/>
        </w:rPr>
        <w:t>цій процесу розвитку соціальної допомоги як професійного виду діяльності, його взаємозв’язку з економічною, політичною і культурною еволюцією суспільства, цілісне уявлення про динаміку розвитку теорії і практики соціальної роботи.</w:t>
      </w:r>
    </w:p>
    <w:p w:rsidR="001F5099" w:rsidRDefault="00F83918" w:rsidP="00862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B2BDE">
        <w:rPr>
          <w:rFonts w:ascii="Times New Roman" w:hAnsi="Times New Roman" w:cs="Times New Roman"/>
          <w:sz w:val="28"/>
          <w:szCs w:val="28"/>
          <w:lang w:val="uk-UA"/>
        </w:rPr>
        <w:t>ході експертизи 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 w:rsidR="00533CD7">
        <w:rPr>
          <w:rFonts w:ascii="Times New Roman" w:hAnsi="Times New Roman" w:cs="Times New Roman"/>
          <w:sz w:val="28"/>
          <w:szCs w:val="28"/>
          <w:lang w:val="uk-UA"/>
        </w:rPr>
        <w:t>и встановлено</w:t>
      </w:r>
      <w:r w:rsidR="008B2BDE">
        <w:rPr>
          <w:rFonts w:ascii="Times New Roman" w:hAnsi="Times New Roman" w:cs="Times New Roman"/>
          <w:sz w:val="28"/>
          <w:szCs w:val="28"/>
          <w:lang w:val="uk-UA"/>
        </w:rPr>
        <w:t>, що у 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присутній персонаж, наділений статевими ознаками, як чоловічими, так і жіночими</w:t>
      </w:r>
      <w:r w:rsidR="00D138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81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оча гендерна термінологія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фемінність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маскулинність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андроцентризм та ін.)</w:t>
      </w:r>
      <w:r w:rsidR="00D13816">
        <w:rPr>
          <w:rFonts w:ascii="Times New Roman" w:hAnsi="Times New Roman" w:cs="Times New Roman"/>
          <w:sz w:val="28"/>
          <w:szCs w:val="28"/>
          <w:lang w:val="uk-UA"/>
        </w:rPr>
        <w:t xml:space="preserve"> не використовується.</w:t>
      </w:r>
    </w:p>
    <w:p w:rsidR="00B607DE" w:rsidRDefault="00B607DE" w:rsidP="00B60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проведеного дослідження вмотивовано доцільним є звернення до праці «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засади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гендерної експертизи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 авторського колективу (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Малахова О. А., Марущенко О. 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Дрожжина Т. В., </w:t>
      </w:r>
      <w:proofErr w:type="spellStart"/>
      <w:r w:rsidRPr="00B607DE"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7636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>
        <w:rPr>
          <w:rFonts w:ascii="Times New Roman" w:hAnsi="Times New Roman" w:cs="Times New Roman"/>
          <w:sz w:val="28"/>
          <w:szCs w:val="28"/>
          <w:lang w:val="uk-UA"/>
        </w:rPr>
        <w:t>. Хоча в ній виокремлені п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оширені дискримінаційні практики в конте</w:t>
      </w:r>
      <w:r>
        <w:rPr>
          <w:rFonts w:ascii="Times New Roman" w:hAnsi="Times New Roman" w:cs="Times New Roman"/>
          <w:sz w:val="28"/>
          <w:szCs w:val="28"/>
          <w:lang w:val="uk-UA"/>
        </w:rPr>
        <w:t>кс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ті шкільних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1F28">
        <w:rPr>
          <w:rFonts w:ascii="Times New Roman" w:hAnsi="Times New Roman" w:cs="Times New Roman"/>
          <w:sz w:val="28"/>
          <w:szCs w:val="28"/>
          <w:lang w:val="uk-UA"/>
        </w:rPr>
        <w:t>послуговуватимемося цими підходами у процесі аналізу навчальних посібників для вищої школи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5FF" w:rsidRPr="00B607DE" w:rsidRDefault="004F1F28" w:rsidP="008A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 характеристика передумов цих порушень: «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Варто зауважити, що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автори й авторки підручників, як і всі ми,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того суспільства, в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якому зростали й формувалися, в якому н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t>аявна, на жаль, гендерна дискри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мінація, що часто вважається нормою, а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t xml:space="preserve"> тому закономірно, що буває 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ко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без особливого аналізу й свідомого критичного підходу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помітити</w:t>
      </w:r>
      <w:r w:rsid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продуковані</w:t>
      </w:r>
      <w:proofErr w:type="spellEnd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гендерні стереотипи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7636">
        <w:rPr>
          <w:rFonts w:ascii="Times New Roman" w:hAnsi="Times New Roman" w:cs="Times New Roman"/>
          <w:sz w:val="28"/>
          <w:szCs w:val="28"/>
          <w:lang w:val="uk-UA"/>
        </w:rPr>
        <w:t xml:space="preserve"> [3, с. 51]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EEB" w:rsidRDefault="008F3EEB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навчальних посібників підтверджує одну з типових дискримінаційних практик – </w:t>
      </w:r>
      <w:r w:rsidRPr="008F3EEB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FD75FF" w:rsidRPr="008F3EEB">
        <w:rPr>
          <w:rFonts w:ascii="Times New Roman" w:hAnsi="Times New Roman" w:cs="Times New Roman"/>
          <w:i/>
          <w:sz w:val="28"/>
          <w:szCs w:val="28"/>
          <w:lang w:val="uk-UA"/>
        </w:rPr>
        <w:t>ількісна диспропорція представленості осіб обох статей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D75FF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встановлено на основі 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кількісного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скільки разів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зазначаються відомості про жінку / дівчину, а скільки про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чоловіка / хлопця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</w:t>
      </w:r>
      <w:r w:rsidR="00AA0553">
        <w:rPr>
          <w:rFonts w:ascii="Times New Roman" w:hAnsi="Times New Roman" w:cs="Times New Roman"/>
          <w:sz w:val="28"/>
          <w:szCs w:val="28"/>
          <w:lang w:val="uk-UA"/>
        </w:rPr>
        <w:t>близько 90 % випадків згадується про останніх, що очевидним репрезентує провідну роль чоловіка у становленні та розвитку суспільних процесів, у тому числі соціальної допомоги.</w:t>
      </w:r>
    </w:p>
    <w:p w:rsidR="00FD75FF" w:rsidRPr="00B607DE" w:rsidRDefault="00FD75FF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Перше, на що слід звернути увагу, </w:t>
      </w:r>
      <w:r w:rsidR="00266B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чи має місце </w:t>
      </w:r>
      <w:r w:rsidRPr="00266B06">
        <w:rPr>
          <w:rFonts w:ascii="Times New Roman" w:hAnsi="Times New Roman" w:cs="Times New Roman"/>
          <w:i/>
          <w:sz w:val="28"/>
          <w:szCs w:val="28"/>
          <w:lang w:val="uk-UA"/>
        </w:rPr>
        <w:t>паритетність у представленні осіб обох статей на сторінках підручників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. Найпростіший спосіб. Попередній експертний аналіз вказує на </w:t>
      </w:r>
      <w:r w:rsidR="008F3EEB" w:rsidRPr="00B607DE">
        <w:rPr>
          <w:rFonts w:ascii="Times New Roman" w:hAnsi="Times New Roman" w:cs="Times New Roman"/>
          <w:sz w:val="28"/>
          <w:szCs w:val="28"/>
          <w:lang w:val="uk-UA"/>
        </w:rPr>
        <w:t>нерівномірне кількісне співвідношення жіночих і чоловічих образів:</w:t>
      </w:r>
      <w:r w:rsidR="008F3EE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F3EEB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="008F3E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3EEB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к, у цілому, згадуються в текстах </w:t>
      </w:r>
      <w:r w:rsidR="008F3EEB">
        <w:rPr>
          <w:rFonts w:ascii="Times New Roman" w:hAnsi="Times New Roman" w:cs="Times New Roman"/>
          <w:sz w:val="28"/>
          <w:szCs w:val="28"/>
          <w:lang w:val="uk-UA"/>
        </w:rPr>
        <w:t xml:space="preserve">посібників </w:t>
      </w:r>
      <w:r w:rsidR="00AC429D">
        <w:rPr>
          <w:rFonts w:ascii="Times New Roman" w:hAnsi="Times New Roman" w:cs="Times New Roman"/>
          <w:sz w:val="28"/>
          <w:szCs w:val="28"/>
          <w:lang w:val="uk-UA"/>
        </w:rPr>
        <w:t>рідше за чоловіків</w:t>
      </w:r>
      <w:r w:rsidR="008F3EEB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636">
        <w:rPr>
          <w:rFonts w:ascii="Times New Roman" w:hAnsi="Times New Roman" w:cs="Times New Roman"/>
          <w:sz w:val="28"/>
          <w:szCs w:val="28"/>
          <w:lang w:val="uk-UA"/>
        </w:rPr>
        <w:t>[3, с. 52]</w:t>
      </w:r>
      <w:r w:rsidR="008F3EEB" w:rsidRPr="00B60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5FF" w:rsidRPr="00B607DE" w:rsidRDefault="00266B06" w:rsidP="008A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аспект, притаманний змісту навчального матеріалу, </w:t>
      </w:r>
      <w:r w:rsidRPr="00266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представлення </w:t>
      </w:r>
      <w:r w:rsidR="008A0C85" w:rsidRPr="00266B06">
        <w:rPr>
          <w:rFonts w:ascii="Times New Roman" w:hAnsi="Times New Roman" w:cs="Times New Roman"/>
          <w:i/>
          <w:sz w:val="28"/>
          <w:szCs w:val="28"/>
          <w:lang w:val="uk-UA"/>
        </w:rPr>
        <w:t>осіб різних статей лише в стереотипних гендерних ролях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о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крім кількісного співвідношення жіночих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чоловічих образів, детально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му аналізу має бути піддано їх якісне, змістовне наповнення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тобто те,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особистісні риси, соціальні ролі, види діяльності, моделі поведінки і навіть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життєві сценарії притаманні жіночим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чоловічим персонажам, які фігу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рують у текстах. Ось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найбільш типові приклади такого роду </w:t>
      </w:r>
      <w:proofErr w:type="spellStart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турботливість, пасивність, слабкіст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емоційність, чутливість,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формність</w:t>
      </w:r>
      <w:proofErr w:type="spellEnd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цими особистісними рисами автори й авторки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значно частіше наділяють дівчат; хлопці ж, як правило, зображуються активними, сильними, сміливими, раціонально орієнтованими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B607DE">
        <w:rPr>
          <w:rFonts w:ascii="Times New Roman" w:hAnsi="Times New Roman" w:cs="Times New Roman"/>
          <w:sz w:val="28"/>
          <w:szCs w:val="28"/>
          <w:lang w:val="uk-UA"/>
        </w:rPr>
        <w:t>Жіночі</w:t>
      </w:r>
      <w:r>
        <w:rPr>
          <w:rFonts w:ascii="Times New Roman" w:hAnsi="Times New Roman" w:cs="Times New Roman"/>
          <w:sz w:val="28"/>
          <w:szCs w:val="28"/>
          <w:lang w:val="uk-UA"/>
        </w:rPr>
        <w:t>» життєві сценарії, що «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приховано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прописані на сторінках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підручників, націлюють дівчат майже виключно на приватну сферу (сім’ю,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про дітей, догляд за господарством </w:t>
      </w:r>
      <w:r>
        <w:rPr>
          <w:rFonts w:ascii="Times New Roman" w:hAnsi="Times New Roman" w:cs="Times New Roman"/>
          <w:sz w:val="28"/>
          <w:szCs w:val="28"/>
          <w:lang w:val="uk-UA"/>
        </w:rPr>
        <w:t>без осо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бливих претензій на якісь суспільно важливі досягнення, тоді як хлопців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орієнтують на соціальний успіх на значно більш масштабному </w:t>
      </w:r>
      <w:r>
        <w:rPr>
          <w:rFonts w:ascii="Times New Roman" w:hAnsi="Times New Roman" w:cs="Times New Roman"/>
          <w:sz w:val="28"/>
          <w:szCs w:val="28"/>
          <w:lang w:val="uk-UA"/>
        </w:rPr>
        <w:t>– суспіль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ному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рівні; знайти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lastRenderedPageBreak/>
        <w:t>ж зображення хлопців чи чоловіків у ситуаціях, які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демонстрували відповідальне батьківство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(піклування про дітей, 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зайнятість у домашньому господарстві)</w:t>
      </w:r>
      <w:r>
        <w:rPr>
          <w:rFonts w:ascii="Times New Roman" w:hAnsi="Times New Roman" w:cs="Times New Roman"/>
          <w:sz w:val="28"/>
          <w:szCs w:val="28"/>
          <w:lang w:val="uk-UA"/>
        </w:rPr>
        <w:t>, майже неможливо</w:t>
      </w:r>
      <w:r w:rsidR="00EB7636">
        <w:rPr>
          <w:rFonts w:ascii="Times New Roman" w:hAnsi="Times New Roman" w:cs="Times New Roman"/>
          <w:sz w:val="28"/>
          <w:szCs w:val="28"/>
          <w:lang w:val="uk-UA"/>
        </w:rPr>
        <w:t xml:space="preserve"> [3, с. 52]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487" w:rsidRPr="00B607DE" w:rsidRDefault="006A5487" w:rsidP="006A5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важливим упущенням у змісті навчальної літератури є </w:t>
      </w:r>
      <w:r w:rsidRPr="006A54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використання </w:t>
      </w:r>
      <w:proofErr w:type="spellStart"/>
      <w:r w:rsidRPr="006A5487">
        <w:rPr>
          <w:rFonts w:ascii="Times New Roman" w:hAnsi="Times New Roman" w:cs="Times New Roman"/>
          <w:i/>
          <w:sz w:val="28"/>
          <w:szCs w:val="28"/>
          <w:lang w:val="uk-UA"/>
        </w:rPr>
        <w:t>гендерночутливої</w:t>
      </w:r>
      <w:proofErr w:type="spellEnd"/>
      <w:r w:rsidR="008A0C85" w:rsidRPr="006A54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мови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6B06">
        <w:rPr>
          <w:rFonts w:ascii="Times New Roman" w:hAnsi="Times New Roman" w:cs="Times New Roman"/>
          <w:sz w:val="28"/>
          <w:szCs w:val="28"/>
          <w:lang w:val="uk-UA"/>
        </w:rPr>
        <w:t>Важливим у протидії дискримі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нації за ознакою статі є використання </w:t>
      </w:r>
      <w:proofErr w:type="spellStart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гендерночутливої</w:t>
      </w:r>
      <w:proofErr w:type="spellEnd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усного чи письмового висловлення, позбавленого </w:t>
      </w:r>
      <w:r w:rsidR="00266B06">
        <w:rPr>
          <w:rFonts w:ascii="Times New Roman" w:hAnsi="Times New Roman" w:cs="Times New Roman"/>
          <w:sz w:val="28"/>
          <w:szCs w:val="28"/>
          <w:lang w:val="uk-UA"/>
        </w:rPr>
        <w:t>андро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центризму, </w:t>
      </w:r>
      <w:proofErr w:type="spellStart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сексизмів</w:t>
      </w:r>
      <w:proofErr w:type="spellEnd"/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і будь-яких інших дискримінаційних форм і смислів.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андроцентризм –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це відображення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мові «нормативності»</w:t>
      </w:r>
      <w:r w:rsidR="00266B06">
        <w:rPr>
          <w:rFonts w:ascii="Times New Roman" w:hAnsi="Times New Roman" w:cs="Times New Roman"/>
          <w:sz w:val="28"/>
          <w:szCs w:val="28"/>
          <w:lang w:val="uk-UA"/>
        </w:rPr>
        <w:t xml:space="preserve"> чо</w:t>
      </w:r>
      <w:r>
        <w:rPr>
          <w:rFonts w:ascii="Times New Roman" w:hAnsi="Times New Roman" w:cs="Times New Roman"/>
          <w:sz w:val="28"/>
          <w:szCs w:val="28"/>
          <w:lang w:val="uk-UA"/>
        </w:rPr>
        <w:t>ловічого і «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другорядності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 жіночого, п</w:t>
      </w:r>
      <w:r w:rsidR="00266B06">
        <w:rPr>
          <w:rFonts w:ascii="Times New Roman" w:hAnsi="Times New Roman" w:cs="Times New Roman"/>
          <w:sz w:val="28"/>
          <w:szCs w:val="28"/>
          <w:lang w:val="uk-UA"/>
        </w:rPr>
        <w:t>ередусім через уживання форм чо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>ловічого роду для позначення групи осіб обох статей</w:t>
      </w:r>
      <w:r w:rsidR="00EB7636">
        <w:rPr>
          <w:rFonts w:ascii="Times New Roman" w:hAnsi="Times New Roman" w:cs="Times New Roman"/>
          <w:sz w:val="28"/>
          <w:szCs w:val="28"/>
          <w:lang w:val="uk-UA"/>
        </w:rPr>
        <w:t xml:space="preserve"> [3, с. 54]</w:t>
      </w:r>
      <w:r w:rsidR="008A0C85" w:rsidRPr="00B607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151B" w:rsidRPr="0019151B" w:rsidRDefault="0019151B" w:rsidP="00191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проведений аналіз навчальних посібників </w:t>
      </w:r>
      <w:r w:rsidR="00AC429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соціальної роботи вказує на типові дискримінаційні практики – </w:t>
      </w:r>
      <w:r w:rsidRPr="0019151B">
        <w:rPr>
          <w:rFonts w:ascii="Times New Roman" w:hAnsi="Times New Roman" w:cs="Times New Roman"/>
          <w:sz w:val="28"/>
          <w:szCs w:val="28"/>
          <w:lang w:val="uk-UA"/>
        </w:rPr>
        <w:t xml:space="preserve">кількісна диспропорція представленості осіб обох статей, представлення осіб різних статей лише в стереотипних гендерних ролях,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фактів </w:t>
      </w:r>
      <w:r w:rsidRPr="001915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19151B">
        <w:rPr>
          <w:rFonts w:ascii="Times New Roman" w:hAnsi="Times New Roman" w:cs="Times New Roman"/>
          <w:sz w:val="28"/>
          <w:szCs w:val="28"/>
          <w:lang w:val="uk-UA"/>
        </w:rPr>
        <w:t>гендерночутливої</w:t>
      </w:r>
      <w:proofErr w:type="spellEnd"/>
      <w:r w:rsidRPr="0019151B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0C85" w:rsidRPr="002525AD" w:rsidRDefault="002525AD" w:rsidP="002525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5A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2525AD" w:rsidRPr="004904D6" w:rsidRDefault="002525AD" w:rsidP="002525A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Глазунов С. В. Нариси з історії соціальної роботи [Текст]: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>. вид. / С. В. Глазунов. – Д.: РВВ ДНУ, 2015. – 116 с.</w:t>
      </w:r>
    </w:p>
    <w:p w:rsidR="002525AD" w:rsidRPr="004904D6" w:rsidRDefault="002525AD" w:rsidP="002525A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Горілий А. Г. Історія соціальної роботи :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 / А. Г. Горілий. – Тернопіль : Видавництво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>, 2004. – 174 с.</w:t>
      </w:r>
    </w:p>
    <w:p w:rsidR="002525AD" w:rsidRPr="004904D6" w:rsidRDefault="002525AD" w:rsidP="002525A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Малахова О. А. Теоретико-методологічні засади гендерної експертизи підручника / Малахова О. А.,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Марущенко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О. А., Дрожжина Т. В.,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Т. В. // Експертиза шкільних підручників :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матеріали для експертизи електронних версій проектів підручників для учнів 8 класу загальноосвітніх навчальних закладів [посібник] / за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 ред. О. М.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Топузова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, Н. Б.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Вяткіної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>. – К. : Педагогічна думка, 2016. – С. 48–56.</w:t>
      </w:r>
    </w:p>
    <w:p w:rsidR="002525AD" w:rsidRPr="004904D6" w:rsidRDefault="002525AD" w:rsidP="002525A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Уолцер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М. О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терпимости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/ М. 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Уолцер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Идея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-Пресс,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интеллектуальной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книги, 2000.  – 160 с.</w:t>
      </w:r>
    </w:p>
    <w:p w:rsidR="002525AD" w:rsidRPr="004904D6" w:rsidRDefault="002525AD" w:rsidP="002525A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Фурман А. В.,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Підгурська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 М. В. Історія соціальної роботи: [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 xml:space="preserve">.] /Анатолій Васильович Фурман, Марія Василівна </w:t>
      </w:r>
      <w:proofErr w:type="spellStart"/>
      <w:r w:rsidRPr="004904D6">
        <w:rPr>
          <w:rFonts w:ascii="Times New Roman" w:hAnsi="Times New Roman" w:cs="Times New Roman"/>
          <w:sz w:val="28"/>
          <w:szCs w:val="28"/>
          <w:lang w:val="uk-UA"/>
        </w:rPr>
        <w:t>Підгурська</w:t>
      </w:r>
      <w:proofErr w:type="spellEnd"/>
      <w:r w:rsidRPr="004904D6">
        <w:rPr>
          <w:rFonts w:ascii="Times New Roman" w:hAnsi="Times New Roman" w:cs="Times New Roman"/>
          <w:sz w:val="28"/>
          <w:szCs w:val="28"/>
          <w:lang w:val="uk-UA"/>
        </w:rPr>
        <w:t>. – Тернопіль: ТНЕУ, 2014. – 174 с.</w:t>
      </w:r>
    </w:p>
    <w:p w:rsidR="00B607DE" w:rsidRPr="0019151B" w:rsidRDefault="00B607DE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7DE" w:rsidRPr="0019151B" w:rsidRDefault="00B607DE" w:rsidP="0053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7DE" w:rsidRPr="0019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4B" w:rsidRDefault="007A684B" w:rsidP="00F81B85">
      <w:pPr>
        <w:spacing w:after="0" w:line="240" w:lineRule="auto"/>
      </w:pPr>
      <w:r>
        <w:separator/>
      </w:r>
    </w:p>
  </w:endnote>
  <w:endnote w:type="continuationSeparator" w:id="0">
    <w:p w:rsidR="007A684B" w:rsidRDefault="007A684B" w:rsidP="00F8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4B" w:rsidRDefault="007A684B" w:rsidP="00F81B85">
      <w:pPr>
        <w:spacing w:after="0" w:line="240" w:lineRule="auto"/>
      </w:pPr>
      <w:r>
        <w:separator/>
      </w:r>
    </w:p>
  </w:footnote>
  <w:footnote w:type="continuationSeparator" w:id="0">
    <w:p w:rsidR="007A684B" w:rsidRDefault="007A684B" w:rsidP="00F8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82C"/>
    <w:multiLevelType w:val="hybridMultilevel"/>
    <w:tmpl w:val="3EFA8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78"/>
    <w:rsid w:val="0003159E"/>
    <w:rsid w:val="00051A4F"/>
    <w:rsid w:val="00094269"/>
    <w:rsid w:val="000C298F"/>
    <w:rsid w:val="000D2894"/>
    <w:rsid w:val="000D3D96"/>
    <w:rsid w:val="00130F85"/>
    <w:rsid w:val="0019151B"/>
    <w:rsid w:val="001A0B13"/>
    <w:rsid w:val="001E3C60"/>
    <w:rsid w:val="001F5099"/>
    <w:rsid w:val="0022072B"/>
    <w:rsid w:val="002525AD"/>
    <w:rsid w:val="00266B06"/>
    <w:rsid w:val="00300D1D"/>
    <w:rsid w:val="0031410E"/>
    <w:rsid w:val="00344BFA"/>
    <w:rsid w:val="003B472F"/>
    <w:rsid w:val="003F1174"/>
    <w:rsid w:val="00405329"/>
    <w:rsid w:val="00416D37"/>
    <w:rsid w:val="00442EE6"/>
    <w:rsid w:val="004B4EA4"/>
    <w:rsid w:val="004D1A8E"/>
    <w:rsid w:val="004F1F28"/>
    <w:rsid w:val="004F50AB"/>
    <w:rsid w:val="005306B2"/>
    <w:rsid w:val="00533CD7"/>
    <w:rsid w:val="005719FC"/>
    <w:rsid w:val="0057242F"/>
    <w:rsid w:val="005A1A3E"/>
    <w:rsid w:val="005A56AE"/>
    <w:rsid w:val="005C2EA9"/>
    <w:rsid w:val="00661FB7"/>
    <w:rsid w:val="006A5487"/>
    <w:rsid w:val="006C7ED1"/>
    <w:rsid w:val="007952E7"/>
    <w:rsid w:val="007A684B"/>
    <w:rsid w:val="00847A78"/>
    <w:rsid w:val="00862605"/>
    <w:rsid w:val="00874635"/>
    <w:rsid w:val="008A0C85"/>
    <w:rsid w:val="008B2BDE"/>
    <w:rsid w:val="008C2619"/>
    <w:rsid w:val="008C5AA4"/>
    <w:rsid w:val="008D4984"/>
    <w:rsid w:val="008F3EEB"/>
    <w:rsid w:val="00987018"/>
    <w:rsid w:val="009F024F"/>
    <w:rsid w:val="00A44734"/>
    <w:rsid w:val="00AA0553"/>
    <w:rsid w:val="00AC0DE3"/>
    <w:rsid w:val="00AC429D"/>
    <w:rsid w:val="00AD1E2A"/>
    <w:rsid w:val="00B43BE5"/>
    <w:rsid w:val="00B56FB4"/>
    <w:rsid w:val="00B57FC6"/>
    <w:rsid w:val="00B607DE"/>
    <w:rsid w:val="00CC3FD8"/>
    <w:rsid w:val="00D13816"/>
    <w:rsid w:val="00D85127"/>
    <w:rsid w:val="00E0517F"/>
    <w:rsid w:val="00E55678"/>
    <w:rsid w:val="00E84B78"/>
    <w:rsid w:val="00EB7636"/>
    <w:rsid w:val="00ED740A"/>
    <w:rsid w:val="00ED7518"/>
    <w:rsid w:val="00F23823"/>
    <w:rsid w:val="00F741F9"/>
    <w:rsid w:val="00F81B85"/>
    <w:rsid w:val="00F83918"/>
    <w:rsid w:val="00F86915"/>
    <w:rsid w:val="00FA3BD1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E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1B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1B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1B85"/>
    <w:rPr>
      <w:vertAlign w:val="superscript"/>
    </w:rPr>
  </w:style>
  <w:style w:type="character" w:customStyle="1" w:styleId="10">
    <w:name w:val="Заголовок 1 Знак"/>
    <w:basedOn w:val="a0"/>
    <w:link w:val="1"/>
    <w:rsid w:val="005C2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E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1B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1B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1B85"/>
    <w:rPr>
      <w:vertAlign w:val="superscript"/>
    </w:rPr>
  </w:style>
  <w:style w:type="character" w:customStyle="1" w:styleId="10">
    <w:name w:val="Заголовок 1 Знак"/>
    <w:basedOn w:val="a0"/>
    <w:link w:val="1"/>
    <w:rsid w:val="005C2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A857-423E-4793-9B1F-DE17EB2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2017-09-09T19:07:00Z</dcterms:created>
  <dcterms:modified xsi:type="dcterms:W3CDTF">2017-11-22T18:47:00Z</dcterms:modified>
</cp:coreProperties>
</file>