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0E" w:rsidRDefault="002B2D0E" w:rsidP="002B2D0E">
      <w:pPr>
        <w:widowControl w:val="0"/>
        <w:spacing w:after="0" w:line="324" w:lineRule="auto"/>
        <w:ind w:firstLine="540"/>
        <w:jc w:val="right"/>
        <w:rPr>
          <w:rFonts w:ascii="Times New Roman" w:hAnsi="Times New Roman"/>
          <w:b/>
          <w:i/>
          <w:sz w:val="28"/>
          <w:szCs w:val="28"/>
          <w:lang w:val="uk-UA" w:eastAsia="uk-UA"/>
        </w:rPr>
      </w:pPr>
      <w:r>
        <w:rPr>
          <w:rFonts w:ascii="Times New Roman" w:hAnsi="Times New Roman"/>
          <w:b/>
          <w:i/>
          <w:sz w:val="28"/>
          <w:szCs w:val="28"/>
          <w:lang w:val="uk-UA" w:eastAsia="uk-UA"/>
        </w:rPr>
        <w:t>Полєхіна Вікторія</w:t>
      </w:r>
    </w:p>
    <w:p w:rsidR="002B2D0E" w:rsidRDefault="002B2D0E" w:rsidP="002B2D0E">
      <w:pPr>
        <w:widowControl w:val="0"/>
        <w:spacing w:after="0" w:line="324" w:lineRule="auto"/>
        <w:ind w:firstLine="540"/>
        <w:jc w:val="right"/>
        <w:rPr>
          <w:rFonts w:ascii="Times New Roman" w:hAnsi="Times New Roman"/>
          <w:b/>
          <w:i/>
          <w:sz w:val="28"/>
          <w:szCs w:val="28"/>
          <w:lang w:val="uk-UA" w:eastAsia="uk-UA"/>
        </w:rPr>
      </w:pPr>
      <w:r>
        <w:rPr>
          <w:rFonts w:ascii="Times New Roman" w:hAnsi="Times New Roman"/>
          <w:b/>
          <w:i/>
          <w:sz w:val="28"/>
          <w:szCs w:val="28"/>
          <w:lang w:val="uk-UA" w:eastAsia="uk-UA"/>
        </w:rPr>
        <w:t xml:space="preserve">доцент кафедри соціальної педагогіки та соціальної роботи </w:t>
      </w:r>
    </w:p>
    <w:p w:rsidR="002B2D0E" w:rsidRDefault="002B2D0E" w:rsidP="002B2D0E">
      <w:pPr>
        <w:widowControl w:val="0"/>
        <w:spacing w:after="0" w:line="324" w:lineRule="auto"/>
        <w:ind w:firstLine="540"/>
        <w:jc w:val="right"/>
        <w:rPr>
          <w:rFonts w:ascii="Times New Roman" w:hAnsi="Times New Roman"/>
          <w:b/>
          <w:i/>
          <w:sz w:val="28"/>
          <w:szCs w:val="28"/>
          <w:lang w:val="uk-UA" w:eastAsia="uk-UA"/>
        </w:rPr>
      </w:pPr>
      <w:r>
        <w:rPr>
          <w:rFonts w:ascii="Times New Roman" w:hAnsi="Times New Roman"/>
          <w:b/>
          <w:i/>
          <w:sz w:val="28"/>
          <w:szCs w:val="28"/>
          <w:lang w:val="uk-UA" w:eastAsia="uk-UA"/>
        </w:rPr>
        <w:t xml:space="preserve">Уманського  державного  педагогічного  університету </w:t>
      </w:r>
    </w:p>
    <w:p w:rsidR="002B2D0E" w:rsidRDefault="002B2D0E" w:rsidP="002B2D0E">
      <w:pPr>
        <w:widowControl w:val="0"/>
        <w:spacing w:after="0" w:line="324" w:lineRule="auto"/>
        <w:ind w:firstLine="540"/>
        <w:jc w:val="right"/>
        <w:rPr>
          <w:rFonts w:ascii="Times New Roman" w:hAnsi="Times New Roman"/>
          <w:b/>
          <w:i/>
          <w:sz w:val="28"/>
          <w:szCs w:val="28"/>
          <w:lang w:val="uk-UA" w:eastAsia="uk-UA"/>
        </w:rPr>
      </w:pPr>
      <w:r>
        <w:rPr>
          <w:rFonts w:ascii="Times New Roman" w:hAnsi="Times New Roman"/>
          <w:b/>
          <w:i/>
          <w:sz w:val="28"/>
          <w:szCs w:val="28"/>
          <w:lang w:val="uk-UA" w:eastAsia="uk-UA"/>
        </w:rPr>
        <w:t xml:space="preserve">імені Павла Тичини </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p>
    <w:p w:rsidR="002B2D0E" w:rsidRDefault="002B2D0E" w:rsidP="002B2D0E">
      <w:pPr>
        <w:widowControl w:val="0"/>
        <w:spacing w:after="0" w:line="324" w:lineRule="auto"/>
        <w:ind w:firstLine="540"/>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ЗАРУБІЖНИЙ ДОСВІД СОЦІАЛЬНО-ПЕДАГОГІЧНОЇ  </w:t>
      </w:r>
    </w:p>
    <w:p w:rsidR="002B2D0E" w:rsidRDefault="002B2D0E" w:rsidP="002B2D0E">
      <w:pPr>
        <w:widowControl w:val="0"/>
        <w:spacing w:after="0" w:line="324" w:lineRule="auto"/>
        <w:ind w:firstLine="540"/>
        <w:jc w:val="center"/>
        <w:rPr>
          <w:rFonts w:ascii="Times New Roman" w:hAnsi="Times New Roman"/>
          <w:b/>
          <w:sz w:val="28"/>
          <w:szCs w:val="28"/>
          <w:lang w:val="uk-UA" w:eastAsia="uk-UA"/>
        </w:rPr>
      </w:pPr>
      <w:r>
        <w:rPr>
          <w:rFonts w:ascii="Times New Roman" w:hAnsi="Times New Roman"/>
          <w:b/>
          <w:sz w:val="28"/>
          <w:szCs w:val="28"/>
          <w:lang w:val="uk-UA" w:eastAsia="uk-UA"/>
        </w:rPr>
        <w:t>РОБОТИ З СІМ’ЄЮ.</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Нормативно-правовою підставою надання соціально-педагогічних послуг сім’ї в Україні слугують закони “Про соціальні послуги” та “Про соціальну роботу з дітьми та молоддю”. Вони розглядають соціально-педагогічні послуги як один з видів соціальних послуг, що становлять собою комплекс дій держави, громадських організацій, спрямованих на створення та поліпшення умов життєдіяльності молоді, розширення можливостей її самореалізації [1].</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 xml:space="preserve">У «Стратегії демографічного розвитку України на 2006 – 2015 роки» зазначено, що одним із завдань суспільства на сучасному етапі є сприяння всебічному розвиткові сім’ї, створення соціально-економічних умов для її повноцінного функціонування, задоволення і відтворення потреби сім’ї в дітях [4]. Здійснення вказаних цілей є неможливим без піднесення рівня сімейної політики України на відповідний рівень, що, у свою чергу, вимагає вивчення зарубіжного досвіду, зокрема Німеччини, щодо процесу реалізації основних сімейнополітичних принципів у цій країні. </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Аналіз літературних джерел свідчить про зростання інтересу багатьох науковців до питання сімейної політики. Теоретичні та практичні аспекти сучасної політики Німеччини щодо сім'ї розглядають дослідники Г. Бертрам (H. Bertram), М. Вінген (M. Wingen), А. Гохшільд (A. Hochschild), І. Герлях (I. Gerlach), А. Дільґер (A. Dilger), Ф. Кауфманн (F. Kaufmann), М. Текстор (M. Textor). Цінними у дослідженні зазначеної проблематики стали також роботи українських дослідників С. Вакуленко, П. Гусака, Ю. Підлісного, І. Трубавіної, О. Яременка та інших, однак дане питання й досі, на нашу думку, залишається не достатньо висвітленим.</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 xml:space="preserve">Метою нашої статті є аналіз  здійснення соціально-педагогічної роботи з сім’єю в аспекті історичного розвитку  сімейної політики Німеччини. </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lastRenderedPageBreak/>
        <w:t>Модель сімейної політики держави впливає на якість і обсяги соціально-педагогічних послуг сім’ям; на державні соціальні програми з родинами, терміни, фінансування; на державні нормативи і стандарти послуг сім’ям; на перелік тих сімей, які можуть безкоштовно ними користуватися для реалізації своїх сімейних завдань та подолання кризових ситуацій. Головним завданням сімейної політики є нормальне функціонування сім’ї, її розвиток, а також утвердження соціальної справедливості в суспільстві.</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Якщо проаналізувати аспекти  історичного  розвитку сімейної політики Німеччини, то можемо  з’ясувати, що у другій половині XX ст. під впливом суспільних вимог соціально-педагогічна діяльність розширила свою сферу впливу на всі категорії населення і набула поширення у сферах соціальної допомоги, соціального забезпечення, соціально-педагогічної допомоги, консультування і виховання різних вікових груп.</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 xml:space="preserve"> У дослідженні О.Пришляк «Професійна підготовка соціальних педагогів у вищих навчальних закладах Німеччини» подано ретроспективний аналіз особливостей становлення і розвитку соціально-педагогічної діяльності і соціально-педагогічної освіти у Німеччині, що  дало  змогу виокремити такі періоди: перший (початковий) – 1885-1917 рр. – розробка перших програм підготовки керівників для роботи з молоддю і працівників сфери благодійної діяльності; другий (формувальний)– 1918-1932 рр. – становлення професійної соціальної/соціально-педагогічної діяльності; третій(реорганізаційний) – 1933-1945 рр. – докорінна зміна соціальної політики країни; підміна соціальної/соціально-педагогічної роботи так званою “народною опікою”; реорганізація професійних шкіл соціальної освіти у школи народної опіки; четвертий (відновлювальний) – 1946-1971 рр. – відновлення системи соціальної/соціально-педагогічної діяльності та соціально-пеагогічної освіти; п’ятий (модернізаційний) – 1972 р.-по теперішній час – перехід соціально-педагогічної освіти до системи вищої освіти; формування різнорівневої системи професійної </w:t>
      </w:r>
      <w:r>
        <w:rPr>
          <w:rFonts w:ascii="Times New Roman" w:hAnsi="Times New Roman"/>
          <w:spacing w:val="-10"/>
          <w:sz w:val="28"/>
          <w:szCs w:val="28"/>
          <w:lang w:val="uk-UA" w:eastAsia="uk-UA"/>
        </w:rPr>
        <w:t>підготовки; збільшення кількості освітніх програм та їх якісне зростання; упровадження широкого</w:t>
      </w:r>
      <w:r>
        <w:rPr>
          <w:rFonts w:ascii="Times New Roman" w:hAnsi="Times New Roman"/>
          <w:sz w:val="28"/>
          <w:szCs w:val="28"/>
          <w:lang w:val="uk-UA" w:eastAsia="uk-UA"/>
        </w:rPr>
        <w:t xml:space="preserve"> спектра спеціальностей і спеціалізацій</w:t>
      </w:r>
      <w:r w:rsidRPr="000815C1">
        <w:rPr>
          <w:rFonts w:ascii="Times New Roman" w:hAnsi="Times New Roman"/>
          <w:sz w:val="28"/>
          <w:szCs w:val="28"/>
          <w:lang w:val="uk-UA" w:eastAsia="uk-UA"/>
        </w:rPr>
        <w:t xml:space="preserve"> </w:t>
      </w:r>
      <w:r>
        <w:rPr>
          <w:rFonts w:ascii="Times New Roman" w:hAnsi="Times New Roman"/>
          <w:sz w:val="28"/>
          <w:szCs w:val="28"/>
          <w:lang w:val="uk-UA" w:eastAsia="uk-UA"/>
        </w:rPr>
        <w:t>[3; c. 78].</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Більшість наукових досліджень модель сімейної політики Німеччини визначає як „експліцитну” (explizit), тобто явну. Роль сім’ї визначається </w:t>
      </w:r>
      <w:r>
        <w:rPr>
          <w:rFonts w:ascii="Times New Roman" w:hAnsi="Times New Roman"/>
          <w:sz w:val="28"/>
          <w:szCs w:val="28"/>
          <w:lang w:val="uk-UA" w:eastAsia="uk-UA"/>
        </w:rPr>
        <w:lastRenderedPageBreak/>
        <w:t xml:space="preserve">сьогодні виключно як політика майбутнього і як така, що створює усі можливості для того, щоб батьки могли повноцінно здійснювати свою виховну функцію [2].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Шоста стаття Головного закону Німеччини – "Сім’я знаходиться під особливим державним захистом" –  зобов’язує державу не тільки шанувати сім’ю як важливий соціальний інститут будь-якого суспільства й захищати її від державного втручання, утисків та гніту. Вона містить також вимогу активного сприяння сім’ї. Таким чином Конституція Німеччини є підгрунтям сімейної політики й мірилом всіх сімейнополітичних рішень. Формулювання даної сімейної статті спричинене не лише турботою про родину, а й свідомістю того, що сім’я є основною передумовою вільної й солідарної конституційної держави. Вона є тієюнеобхідноюланкою, без якоїсуспільство не може передати підростаючому поколінню системи соціальних правил поведінки, це – перший колектив, у якому починається становлення особистості. Сім’я вводить дітей у світ знань та праці, суспільних прав та обов’язків, впливає на формування їхнього характеру та відношення до оточуючого світу, доморальних, ідейних та культурних цінностей [5].</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Об’єктом сімейної політики загально прийнято вважати сім’ю з дітьми, тому сімейнозорієнтовані заходи в Німеччині адресовані до всіх без винятку сімей. Проте особлива увага звертається на допомогу родинам, що знаходяться в складних життєвих обставинах, оскільки суспільство не може функціонувати без здорових і сильних сімей. Шляхом подолання кризи сім’ї у Німеччині є розбудова “соціальної держави”, яка є ідеалом соціальної політики більшості країн і ґрунтується на принципах соціальної справедливості, соціальної рівності, забезпечення соціальних гарантій, спрямована на підвищення якості життя всіх громадян і стримання поширення соціальних ризиків [2].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Стабільна сімейна політика Німеччини спрямована на те, щоб кожна сім’я, незалежно від її типу, виконувала всі свої функцій у їх повному обсязі. Тому головною сімейнополітичною метою німецький федеральний уряд вважає „створення таких загальних соціальних, економічних та політичних умов, які б давали можливість наступним поколінням займатись розвитком і вихованням дітей, жити у солідарності та приймати турботу про інших як </w:t>
      </w:r>
      <w:r>
        <w:rPr>
          <w:rFonts w:ascii="Times New Roman" w:hAnsi="Times New Roman"/>
          <w:sz w:val="28"/>
          <w:szCs w:val="28"/>
          <w:lang w:val="uk-UA" w:eastAsia="uk-UA"/>
        </w:rPr>
        <w:lastRenderedPageBreak/>
        <w:t>частину власних життєвих перспектив” [7; c. 245].</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Відлік офіційної сімейної політики Німеччини починається зі створення у 1953 році Федерального міністерства у справах сім’ї, завданням якого був захист і утвердження традиційного для Західної Німеччини типу сім’ї. в якій – батько матеріально утримує родину, а мати піклується про дітей та домашнє господарство. Перші політичні заходи щодо сім’ї були спрямовані на допомогу багатодітним сім’ям, в центрі уваги знаходилась дитина, як член сім’ї та носій власних прав. У цей період успіх здобуває виховний ідеал, в якому сім’я вважається найважливішою соціалізуючою інстанцією, а інститутам соціального забезпечення та опіки над неповнолітніми, навпаки, приписується другорядна роль сімейного доповнення. Незважаючи на те, що реальна родина у повоєнні роки зовсім не відповідала цьому ідеалу, проте вона здобула нове ідеологічне значення для суспільства. Нуклеарна сім’я стала нормативним гарантом економічної відбудови та нормалізації суспільного життя після другої світової війни.</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Школа та позашкільні інституції потребували мобілізації освітньо-виховного потенціалу, виховання в родині вважалось вже недостатнім. Поступово утверджується думка про те, що дефіцит сімейної функціональності може бути подоланий лише за допомогою надання додаткових соціально-педагогічних послуг. Таким чином, завданням соціально-педагогічних інститутів у дошкільній та шкільній сфері стало ще більше розвантаження сім’ї з її виховної функції.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Період 70-х рр. характеризується введенням звітів федерального уряду про молодь, а також звітів про становище сім’ї в Німеччині. З цього часу німецька сімейна політика здійснюється вже на основі фактичних даних. В цих звітах прослідковується поступове перенесення основного акценту сімейної політики, і, відповідно, завдання соціально-педагогічних послуг родині,  з орієнтації на певну групу до фокусу на інституцію, що вказувало на важливість позасімейнихсоціалізуючих інстанцій та необхідність напрацювання самостійних методів роботи в межах цих інституцій [7].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Центральною подією сімейної політики у 90 рр. ХХ століття стало прийняття Закону про надання допомоги дітям і молоді, спрямованого на створення неповнолітнім належних умов розвитку, конкретніше на надання </w:t>
      </w:r>
      <w:r>
        <w:rPr>
          <w:rFonts w:ascii="Times New Roman" w:hAnsi="Times New Roman"/>
          <w:sz w:val="28"/>
          <w:szCs w:val="28"/>
          <w:lang w:val="uk-UA" w:eastAsia="uk-UA"/>
        </w:rPr>
        <w:lastRenderedPageBreak/>
        <w:t>батькам можливостей для організації цих сприятливих умов. Згідно з цим законом, кожна дитина в Німеччині має право на проживання в сім’ї та можливість у разі необхідності бути влаштованою на виховання в іншу так звану „соціальну сім’ю”. У цей період постерігається поступовий перехід від критики недоліків сім’ї до її суспільного визнання.</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Початок ХХІ ст. характеризується докорінною перебудовою соціальної держави та її сімейної політики. До цього часу дебати щодо виходу із кризи соціальної держави концентрувались в основному на масовому безробітті, глобалізації та її впливі на діяльність соціальної страхової системи, то на даному етапі у фокус уваги потрапляють діти, сім’я та жінки. Низький рівень народжуваності в Німеччині, недостатній вибір консультаційних послуг по догляду за дітьми, старіння населення, погані результати успішності німецьких учнів, виявлені  міжнародними дослідженнями, вказали на необхідність реформ у сфері  освіти, виховання та соціальних послуг для дітей і сім’ї. Приділяючи особливу увагу цьому питанню, Німеччина підтримує сімейну політику Європейського союзу, владні структури якого вважають "інвестування в дітей, жінок і сім’ю" ключем до подолання актуальних викликів західних держав стосовно загального добробуту і можливістю уникнення соціального розколу та поширення функціональної неписьменності [6].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Сімейна політика лише тоді може бути успішною,  підкреслює Ганс Бертрам, якщо вона орієнтується на життєву позицію молодих людей, сприяє гендерному рівноправ’ю, створює можливості поєднання виробничої, освітньої та сімейної сфери діяльності завдяки добре розвиненій інфраструктурі. У відповідності з цим на початку ХХІ ст. в Німеччині більш інтенсивно вживаються заходи сприяння виходу на роботу матерів (особливо матерів з малими дітьми), заходи щодо суміщення сімейного виховання та професійної діяльності. Завдяки утвердженню моделі сучасної сім’ї, в якій обоє батьків працюють, та розширенню державних освітніх послуг і служб для дітей та сім’ї зменшується відносно висока дитяча бідність, створюються нові місця праці у сфері послуг, знижується соціальна нерівність [5; с. 55].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Сімейна політика вважається частиною суспільної структурної політики, скерованої на реалізацію свободи та справедливості для усіх громадян, тому </w:t>
      </w:r>
      <w:r>
        <w:rPr>
          <w:rFonts w:ascii="Times New Roman" w:hAnsi="Times New Roman"/>
          <w:sz w:val="28"/>
          <w:szCs w:val="28"/>
          <w:lang w:val="uk-UA" w:eastAsia="uk-UA"/>
        </w:rPr>
        <w:lastRenderedPageBreak/>
        <w:t>всі її учасники повинні співпрацювати  на засадах субсидіарного принципу. Згідно з цим принципом, сімейно-політичні   рішення в Німеччині приймаються переважно на нижчому рівні. На вищому ж рівні вони приймаються лише у тому випадку, коли ці рішення будуть ефективнішими за відповідні нижніх ланок. Принцип субсидіарності є одним з наріжних каменів законодавства Європейського союзу і базовою вимогою Європейської хартії про місцеве самоврядування.</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 xml:space="preserve">Висновки. В контексті сімейної політики ФРН особливо важливу роль відіграє громадянська активність її цивільного населення, яка проявляється в утворенні, різноманітних громадських та приватних ініціатив, які працюють для сім’ї, об’єднанні самих родин із схожими проблемами з метою їх подолання. Під громадськими ініціативами розуміють спонтанну колективну самоорганізацію громадян для взаємодопомоги або захисту своїх інтересів у формі локальної, найчастіше обмеженої в цілях і часі діяльності. Вони представлені в Німеччині сімейними спілками, ініціативними групами батьків, робочими гуртками, цивільними  комітетами, цивільними акціями, групами самодопомоги тощо. </w:t>
      </w:r>
    </w:p>
    <w:p w:rsidR="002B2D0E" w:rsidRDefault="002B2D0E" w:rsidP="002B2D0E">
      <w:pPr>
        <w:widowControl w:val="0"/>
        <w:spacing w:after="0" w:line="328" w:lineRule="auto"/>
        <w:ind w:firstLine="539"/>
        <w:jc w:val="both"/>
        <w:rPr>
          <w:rFonts w:ascii="Times New Roman" w:hAnsi="Times New Roman"/>
          <w:sz w:val="28"/>
          <w:szCs w:val="28"/>
          <w:lang w:val="uk-UA" w:eastAsia="uk-UA"/>
        </w:rPr>
      </w:pPr>
      <w:r>
        <w:rPr>
          <w:rFonts w:ascii="Times New Roman" w:hAnsi="Times New Roman"/>
          <w:sz w:val="28"/>
          <w:szCs w:val="28"/>
          <w:lang w:val="uk-UA" w:eastAsia="uk-UA"/>
        </w:rPr>
        <w:t>В умовах сучасної освітньої політики, що проводиться Німеччиною з метою підвищення ефективності економіки, питання виховання, соціалізації та  освіти – сім’я,  держава і соціально-педагогічні інституції повинні співпрацювати. Перспективами подальших досліджень є спрямованість змісту та форм професійної освіти в Україні, на зв’язок  з інноваційними тенденціями що притаманні сфері соціально-педагогічної діяльності в Німеччині.</w:t>
      </w:r>
    </w:p>
    <w:p w:rsidR="002B2D0E" w:rsidRPr="000815C1" w:rsidRDefault="002B2D0E" w:rsidP="002B2D0E">
      <w:pPr>
        <w:spacing w:after="0" w:line="360" w:lineRule="auto"/>
        <w:ind w:firstLine="709"/>
        <w:jc w:val="center"/>
        <w:rPr>
          <w:rFonts w:ascii="Times New Roman" w:hAnsi="Times New Roman"/>
          <w:b/>
          <w:sz w:val="28"/>
          <w:szCs w:val="28"/>
          <w:lang w:val="uk-UA"/>
        </w:rPr>
      </w:pPr>
    </w:p>
    <w:p w:rsidR="002B2D0E" w:rsidRPr="000815C1" w:rsidRDefault="002B2D0E" w:rsidP="002B2D0E">
      <w:pPr>
        <w:spacing w:after="0" w:line="360" w:lineRule="auto"/>
        <w:ind w:firstLine="709"/>
        <w:jc w:val="center"/>
        <w:rPr>
          <w:rFonts w:ascii="Times New Roman" w:hAnsi="Times New Roman"/>
          <w:b/>
          <w:sz w:val="28"/>
          <w:szCs w:val="28"/>
          <w:lang w:val="uk-UA"/>
        </w:rPr>
      </w:pPr>
    </w:p>
    <w:p w:rsidR="002B2D0E" w:rsidRDefault="002B2D0E" w:rsidP="002B2D0E">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1. Звєрєва І. Д. Соціально-педагогічна робота з дітьми і молоддю в Україні: теорія і практика : [монографія] / Ірина Дмитрівна Звєрєва. – К. : Правда Ярославичів, 1998. – 333 с.</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2. Попович Г. М.Моделі соціальної політики і соціальна практика / Г. М. Попович // Науковий вісник УжНУ, сер. “Педагогіка. Соціальна робота”. – 2000. – № 3. – C. 132–135.</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3. Пришляк О.Ю. Професійна підготовка соціальних педагогів у вищих навчальних закладах Німеччини: дис. … кандидата пед. наук : 13.00.04 /Пришляк Оксана Юріївна. – Тернопіль, 2008. </w:t>
      </w:r>
      <w:r>
        <w:rPr>
          <w:rFonts w:ascii="Times New Roman" w:hAnsi="Times New Roman"/>
          <w:sz w:val="28"/>
          <w:szCs w:val="28"/>
          <w:lang w:val="uk-UA" w:eastAsia="uk-UA"/>
        </w:rPr>
        <w:sym w:font="Symbol" w:char="002D"/>
      </w:r>
      <w:r>
        <w:rPr>
          <w:rFonts w:ascii="Times New Roman" w:hAnsi="Times New Roman"/>
          <w:sz w:val="28"/>
          <w:szCs w:val="28"/>
          <w:lang w:val="uk-UA" w:eastAsia="uk-UA"/>
        </w:rPr>
        <w:t xml:space="preserve"> 220 с.</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4. Стратегія демографічного розвитку України на 2006 – 2015 роки [Електронний ресурс]. – Режим доступу до документу: http://www.kmu.gov.ua/control/uk/publish/article?art_id=40364856&amp;cat_id=3588</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5. Bertram H. Familienforschungund Familienpolitik : Themen, Felderundfamiliale Lebenslagen /HansBertram // [Handbuchder Erziehungswissenschaft / Gerhard Mertens, Ursula Frost, Winfried Böhm, Volker Ladenthin (in 4 Bänden). – Band III / Gerhard Mertens, Michael Obermaier, Wolfgang Krone. – Padeborn : Ferdinand Schöningh, 2009. – S. 31</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6. Jurczyk K. Familie in einer neuen Erwerbswelt. Herausfoerderungen für eine nachhaltige Familienpolitik /Karin Jurczyk// Eidgenössische Koordinationskomission für Familienfragen: Zeit für Familien. Beiträge zur Vereinbarkeit von Familien- und ErwerbsalltagausfamilienpolitischerSicht. – Bern: BKFF, 2004. – S. 107-128.</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7. SiebterFamilienbericht. FamiliezwischenFlexibilitätundVerlässlichkeit. PerspektivenfüreinelebenslaufbezogeneFamilienpolitik. Drucksache 16/1360. BundesministeriumfürFamilie, Senioren, FrauenundJugend, Berlin: KIWI GmbH, Osnabrück,  2006. – S. 396.</w:t>
      </w:r>
    </w:p>
    <w:p w:rsidR="002B2D0E" w:rsidRDefault="002B2D0E" w:rsidP="002B2D0E">
      <w:pPr>
        <w:widowControl w:val="0"/>
        <w:spacing w:after="0" w:line="324" w:lineRule="auto"/>
        <w:ind w:firstLine="540"/>
        <w:jc w:val="both"/>
        <w:rPr>
          <w:rFonts w:ascii="Times New Roman" w:hAnsi="Times New Roman"/>
          <w:sz w:val="28"/>
          <w:szCs w:val="28"/>
          <w:lang w:val="uk-UA" w:eastAsia="uk-UA"/>
        </w:rPr>
      </w:pPr>
    </w:p>
    <w:p w:rsidR="00720C5C" w:rsidRPr="000815C1" w:rsidRDefault="00720C5C">
      <w:pPr>
        <w:rPr>
          <w:lang w:val="uk-UA"/>
        </w:rPr>
      </w:pPr>
    </w:p>
    <w:sectPr w:rsidR="00720C5C" w:rsidRPr="000815C1" w:rsidSect="0072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D0E"/>
    <w:rsid w:val="000815C1"/>
    <w:rsid w:val="000A63FC"/>
    <w:rsid w:val="002B2D0E"/>
    <w:rsid w:val="003C77A5"/>
    <w:rsid w:val="00423596"/>
    <w:rsid w:val="00712C3E"/>
    <w:rsid w:val="00720C5C"/>
    <w:rsid w:val="00C0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0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12079</Characters>
  <Application>Microsoft Office Word</Application>
  <DocSecurity>0</DocSecurity>
  <Lines>100</Lines>
  <Paragraphs>28</Paragraphs>
  <ScaleCrop>false</ScaleCrop>
  <Company>RePack by SPecialiST</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3</cp:revision>
  <dcterms:created xsi:type="dcterms:W3CDTF">2016-04-28T07:28:00Z</dcterms:created>
  <dcterms:modified xsi:type="dcterms:W3CDTF">2016-04-28T07:29:00Z</dcterms:modified>
</cp:coreProperties>
</file>